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F79" w14:textId="0CB37FEC" w:rsidR="004D206D" w:rsidRDefault="004D206D" w:rsidP="004D206D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Ementa: Administração indireta – Estatais – Lei nº 13.303/2016 – Definição do objeto – Normas infralegais – Considerações </w:t>
      </w:r>
    </w:p>
    <w:p w14:paraId="077F5F17" w14:textId="77777777" w:rsidR="004D206D" w:rsidRDefault="004D206D" w:rsidP="004D206D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0EDDCB5A" w14:textId="3EB3F781" w:rsidR="00A1174F" w:rsidRPr="004A072E" w:rsidRDefault="004A072E" w:rsidP="004A072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4A07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Limites dos critérios de</w:t>
      </w:r>
      <w:r w:rsidR="009E701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definição </w:t>
      </w:r>
      <w:r w:rsidRPr="004A07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do objeto da licitação</w:t>
      </w:r>
    </w:p>
    <w:p w14:paraId="2BF76438" w14:textId="4CCC7556" w:rsidR="004A072E" w:rsidRDefault="004A072E" w:rsidP="00844AA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14:paraId="1B412F8A" w14:textId="2EC98372" w:rsidR="004A072E" w:rsidRPr="004A072E" w:rsidRDefault="004A072E" w:rsidP="004A072E">
      <w:pPr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4A07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Ladny Soares Rodrigues Silva </w:t>
      </w:r>
    </w:p>
    <w:p w14:paraId="63593074" w14:textId="6FA4AB01" w:rsidR="004A072E" w:rsidRPr="00A1174F" w:rsidRDefault="004A072E" w:rsidP="004A072E">
      <w:pPr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Advogada regularmente inscrita na OAB/DF e empregada pública na Superintendência Jurídica de empresa estatal.</w:t>
      </w:r>
    </w:p>
    <w:p w14:paraId="5ABE3889" w14:textId="77777777" w:rsidR="004A072E" w:rsidRDefault="004A072E" w:rsidP="00844AA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14:paraId="3A8D57F3" w14:textId="5DD9D634" w:rsidR="003733F2" w:rsidRPr="003733F2" w:rsidRDefault="00CF0C50" w:rsidP="003733F2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Sabe-se </w:t>
      </w:r>
      <w:r w:rsidR="006127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que </w:t>
      </w:r>
      <w:r w:rsidR="006E16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</w:t>
      </w:r>
      <w:r w:rsidR="003733F2" w:rsidRPr="003733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legislação que regula </w:t>
      </w:r>
      <w:r w:rsidR="006127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o procedimento de licitação, em especial</w:t>
      </w:r>
      <w:r w:rsidR="003733F2" w:rsidRPr="003733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6127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o </w:t>
      </w:r>
      <w:r w:rsidR="004A072E" w:rsidRPr="003733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pregão </w:t>
      </w:r>
      <w:r w:rsidR="004A0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eletrônico</w:t>
      </w:r>
      <w:r w:rsidR="006127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, versa de modo pormenorizado </w:t>
      </w:r>
      <w:r w:rsidR="00A31C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sobre a </w:t>
      </w:r>
      <w:r w:rsidR="003733F2" w:rsidRPr="003733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fase interna, com o objetivo de </w:t>
      </w:r>
      <w:r w:rsidR="000121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impedir a ocorrência de </w:t>
      </w:r>
      <w:r w:rsidR="008F1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falhas e conduzir o processo administrativo regularmente </w:t>
      </w:r>
      <w:r w:rsidR="00724A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para minimizar futuros questionamentos e/ou afrontas aos princípios que regem a matéria. </w:t>
      </w:r>
    </w:p>
    <w:p w14:paraId="06603DCA" w14:textId="5C4CDEDC" w:rsidR="003733F2" w:rsidRDefault="00271BF9" w:rsidP="003733F2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Sendo assim </w:t>
      </w:r>
      <w:r w:rsidR="003733F2" w:rsidRPr="003733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 fase preparatória da licitação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é composta por </w:t>
      </w:r>
      <w:r w:rsidR="00C642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determinadas etapas a serem observadas anteriormente à emissão do </w:t>
      </w:r>
      <w:r w:rsidR="00284C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instrumento convocatório, é o que antevê os </w:t>
      </w:r>
      <w:r w:rsidR="003733F2" w:rsidRPr="003733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arts. 3º e 14 do Decreto n.º 10.024/2019</w:t>
      </w:r>
      <w:r w:rsidR="00284C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 vale a transcrição:</w:t>
      </w:r>
    </w:p>
    <w:p w14:paraId="31EC6CE0" w14:textId="3126B92A" w:rsidR="004A2585" w:rsidRPr="004A2585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Art. 3º</w:t>
      </w:r>
      <w:r w:rsidR="004A07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.</w:t>
      </w: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Para fins do disposto neste Decreto, considera-se:</w:t>
      </w:r>
    </w:p>
    <w:p w14:paraId="2DE3A0AD" w14:textId="77777777" w:rsidR="004A2585" w:rsidRPr="004A2585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I - aviso do edital - documento que contém:</w:t>
      </w:r>
    </w:p>
    <w:p w14:paraId="45EEC006" w14:textId="40D6BF99" w:rsidR="004A2585" w:rsidRPr="004A2585" w:rsidRDefault="00256D9E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[...]</w:t>
      </w:r>
    </w:p>
    <w:p w14:paraId="651A58FD" w14:textId="77777777" w:rsidR="004A2585" w:rsidRPr="004A2585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IV - estudo técnico preliminar - documento constitutivo da primeira etapa do planejamento de uma contratação, que caracteriza o interesse público envolvido e a melhor solução ao problema a ser resolvido e que, na hipótese de conclusão pela viabilidade da contratação, fundamenta o termo de referência;</w:t>
      </w:r>
    </w:p>
    <w:p w14:paraId="08663562" w14:textId="5F031848" w:rsidR="00E530E5" w:rsidRDefault="00E530E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[...]</w:t>
      </w:r>
    </w:p>
    <w:p w14:paraId="68540E2E" w14:textId="01147201" w:rsidR="004A2585" w:rsidRPr="004A2585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XI - termo de referência - documento elaborado com base nos estudos técnicos preliminares, que deverá conter:</w:t>
      </w:r>
    </w:p>
    <w:p w14:paraId="4AC5A32A" w14:textId="77777777" w:rsidR="004A2585" w:rsidRPr="004A2585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a) os elementos que embasam a avaliação do custo pela administração pública, a partir dos padrões de desempenho e qualidade estabelecidos e das condições de entrega do objeto, com as seguintes informações:</w:t>
      </w:r>
    </w:p>
    <w:p w14:paraId="0315879F" w14:textId="77777777" w:rsidR="004A2585" w:rsidRPr="00007D8E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1. a definição do objeto contratual e dos métodos para a sua execução, vedadas especificações excessivas, irrelevantes ou desnecessárias, que limitem ou frustrem a competição ou a realização do certame;</w:t>
      </w:r>
    </w:p>
    <w:p w14:paraId="6D083F0E" w14:textId="77777777" w:rsidR="004A2585" w:rsidRPr="00007D8E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2. o valor estimado do objeto da licitação demonstrado em planilhas, de acordo com o preço de mercado; e</w:t>
      </w:r>
    </w:p>
    <w:p w14:paraId="5FF5F840" w14:textId="77777777" w:rsidR="004A2585" w:rsidRPr="00007D8E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3. o cronograma físico-financeiro, se necessário;</w:t>
      </w:r>
    </w:p>
    <w:p w14:paraId="403D7D21" w14:textId="77777777" w:rsidR="004A2585" w:rsidRPr="00007D8E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b) o critério de aceitação do objeto;</w:t>
      </w:r>
    </w:p>
    <w:p w14:paraId="2DF67372" w14:textId="77777777" w:rsidR="004A2585" w:rsidRPr="00007D8E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lastRenderedPageBreak/>
        <w:t>c) os deveres do contratado e do contratante;</w:t>
      </w:r>
    </w:p>
    <w:p w14:paraId="3CAF6F19" w14:textId="77777777" w:rsidR="004A2585" w:rsidRPr="004A2585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d) a relação dos documentos essenciais à verificação da qualificação técnica e econômico-financeira, se necessária;</w:t>
      </w:r>
    </w:p>
    <w:p w14:paraId="5F8D3008" w14:textId="77777777" w:rsidR="004A2585" w:rsidRPr="004A2585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e) os procedimentos de fiscalização e gerenciamento do contrato ou da ata de registro de preços;</w:t>
      </w:r>
    </w:p>
    <w:p w14:paraId="16DDC27E" w14:textId="77777777" w:rsidR="004A2585" w:rsidRPr="004A2585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f) o prazo para execução do contrato; e</w:t>
      </w:r>
    </w:p>
    <w:p w14:paraId="12E4BAD1" w14:textId="77777777" w:rsidR="004A2585" w:rsidRPr="004A2585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g) as sanções previstas de forma objetiva, suficiente e clara.</w:t>
      </w:r>
    </w:p>
    <w:p w14:paraId="7E8EBBC1" w14:textId="43CF5916" w:rsidR="004A2585" w:rsidRPr="004A2585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§ 1º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 classificação de bens e serviços como comuns depende de exame predominantemente fático e de natureza técnica.</w:t>
      </w:r>
    </w:p>
    <w:p w14:paraId="2556E002" w14:textId="763EFB60" w:rsidR="00284C6B" w:rsidRDefault="004A2585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4A25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§ 2º  Os bens e serviços que envolverem o desenvolvimento de soluções específicas de natureza intelectual, científica e técnica, caso possam ser definidos nos termos do disposto no inciso II do caput, serão licitados por pregão, na forma eletrônica.</w:t>
      </w:r>
    </w:p>
    <w:p w14:paraId="1AA3741E" w14:textId="77777777" w:rsidR="005E68D9" w:rsidRDefault="005E68D9" w:rsidP="004A2585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14:paraId="35780260" w14:textId="2AD1CE57" w:rsidR="005E68D9" w:rsidRDefault="005E68D9" w:rsidP="003733F2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Mais adiante o art. </w:t>
      </w:r>
      <w:r w:rsidR="009D59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14 aduz:</w:t>
      </w:r>
    </w:p>
    <w:p w14:paraId="2A4E8E98" w14:textId="77777777" w:rsidR="009D59B9" w:rsidRPr="009D59B9" w:rsidRDefault="009D59B9" w:rsidP="009D59B9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9D59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Art. 14.  No planejamento do pregão, na forma eletrônica, será observado o seguinte:</w:t>
      </w:r>
    </w:p>
    <w:p w14:paraId="65427BF8" w14:textId="77777777" w:rsidR="009D59B9" w:rsidRPr="009D59B9" w:rsidRDefault="009D59B9" w:rsidP="009D59B9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9D59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I - elaboração do estudo técnico preliminar e do termo de referência;</w:t>
      </w:r>
    </w:p>
    <w:p w14:paraId="48081BDF" w14:textId="77777777" w:rsidR="009D59B9" w:rsidRPr="009D59B9" w:rsidRDefault="009D59B9" w:rsidP="009D59B9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9D59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II - aprovação do estudo técnico preliminar e do termo de referência pela autoridade competente ou por quem </w:t>
      </w:r>
      <w:proofErr w:type="spellStart"/>
      <w:r w:rsidRPr="009D59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esta</w:t>
      </w:r>
      <w:proofErr w:type="spellEnd"/>
      <w:r w:rsidRPr="009D59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delegar;</w:t>
      </w:r>
    </w:p>
    <w:p w14:paraId="06103E83" w14:textId="77777777" w:rsidR="009D59B9" w:rsidRPr="009D59B9" w:rsidRDefault="009D59B9" w:rsidP="009D59B9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9D59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III - elaboração do edital, que estabelecerá os </w:t>
      </w:r>
      <w:r w:rsidRPr="007479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critérios de julgamento e a aceitação das propostas, o modo</w:t>
      </w:r>
      <w:r w:rsidRPr="009D59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de disputa e, quando necessário, o intervalo mínimo de diferença de valores ou de percentuais entre os lances, que incidirá tanto em relação aos lances intermediários quanto em relação ao lance que cobrir a melhor oferta;</w:t>
      </w:r>
    </w:p>
    <w:p w14:paraId="459F6517" w14:textId="77777777" w:rsidR="009D59B9" w:rsidRPr="009D59B9" w:rsidRDefault="009D59B9" w:rsidP="009D59B9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IV - definição das exigências de habilitação, das sanções aplicáveis,</w:t>
      </w:r>
      <w:r w:rsidRPr="009D59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dos prazos e das condições que, pelas suas particularidades, sejam consideradas relevantes para a celebração e a execução do contrato e o atendimento das necessidades da administração pública; e</w:t>
      </w:r>
    </w:p>
    <w:p w14:paraId="05AC2392" w14:textId="0B5E971A" w:rsidR="009D59B9" w:rsidRDefault="009D59B9" w:rsidP="009D59B9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9D59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V - designação do pregoeiro e de sua equipe de apoio.</w:t>
      </w:r>
    </w:p>
    <w:p w14:paraId="5A1A80DA" w14:textId="77777777" w:rsidR="00BF2DC6" w:rsidRDefault="00BF2DC6" w:rsidP="00AC47C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14:paraId="46727609" w14:textId="5A12CA28" w:rsidR="003733F2" w:rsidRPr="009E701D" w:rsidRDefault="00923DBB" w:rsidP="009E701D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trike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Ocorre que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</w:t>
      </w:r>
      <w:r w:rsidR="00BF2D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quando da elaboração dos documentos </w:t>
      </w:r>
      <w:r w:rsidR="000E33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essenciais e listagem das eventuais </w:t>
      </w:r>
      <w:r w:rsidR="00D336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exigências é possível que o </w:t>
      </w:r>
      <w:r w:rsidR="00B810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objeto a ser licitado </w:t>
      </w:r>
      <w:r w:rsidR="009516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tenha sido matéria </w:t>
      </w:r>
      <w:r w:rsidR="00C168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de diversas normas infraconstitucionais, </w:t>
      </w:r>
      <w:r w:rsidR="00BB7B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que po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dem</w:t>
      </w:r>
      <w:r w:rsidR="00E659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influenciar a documentação obrigatória a ser exigida dos licitantes. </w:t>
      </w:r>
    </w:p>
    <w:p w14:paraId="359DFA60" w14:textId="272E474E" w:rsidR="00DE3020" w:rsidRDefault="00E025A1" w:rsidP="00AC47C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Nes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es casos, </w:t>
      </w:r>
      <w:r w:rsidR="00DB3C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a fim </w:t>
      </w:r>
      <w:r w:rsidR="003D48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garantir a qualidade do objeto da contratação, mas sem </w:t>
      </w:r>
      <w:r w:rsidR="00D273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prejudicar o alcance da ampla concorrência, deve a área técnica responsável avaliar as</w:t>
      </w:r>
      <w:r w:rsidR="00842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rea</w:t>
      </w:r>
      <w:r w:rsidR="00A91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is</w:t>
      </w:r>
      <w:r w:rsidR="00D273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necessidades da Administração Pública </w:t>
      </w:r>
      <w:r w:rsidR="00181E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para garantir qu</w:t>
      </w:r>
      <w:r w:rsidR="00A91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ais </w:t>
      </w:r>
      <w:r w:rsidR="00181E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exigências </w:t>
      </w:r>
      <w:r w:rsidR="00E961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serão suficientes </w:t>
      </w:r>
      <w:r w:rsidR="00A91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para suprir a demanda</w:t>
      </w:r>
      <w:r w:rsidR="00DE30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. </w:t>
      </w:r>
    </w:p>
    <w:p w14:paraId="11BFEDE0" w14:textId="5A8CE84F" w:rsidR="00A1174F" w:rsidRPr="00A1174F" w:rsidRDefault="00DE3020" w:rsidP="00AC47C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Noutras palavras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C973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havendo um</w:t>
      </w:r>
      <w:r w:rsidR="008D6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a </w:t>
      </w:r>
      <w:r w:rsidR="00C973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variedade de regulamentos</w:t>
      </w:r>
      <w:r w:rsidR="006270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que imponham </w:t>
      </w:r>
      <w:r w:rsidR="0062707C"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requisitos</w:t>
      </w:r>
      <w:r w:rsidR="00C9739E"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sobre o objeto ou serviço a ser adquirido</w:t>
      </w:r>
      <w:r w:rsidR="00C973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</w:t>
      </w:r>
      <w:r w:rsidR="00E35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A1174F"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é razoável concluir que a </w:t>
      </w:r>
      <w:r w:rsidR="00E35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Administração Pública pode não</w:t>
      </w:r>
      <w:r w:rsidR="00A1174F"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est</w:t>
      </w:r>
      <w:r w:rsidR="00E35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ar</w:t>
      </w:r>
      <w:r w:rsidR="00A1174F"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necessariamente obrigada a adotar </w:t>
      </w:r>
      <w:r w:rsidR="00E35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todo</w:t>
      </w:r>
      <w:r w:rsidR="000B32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s </w:t>
      </w:r>
      <w:r w:rsidR="00E35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eles</w:t>
      </w:r>
      <w:r w:rsidR="007A4B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="007A4B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lastRenderedPageBreak/>
        <w:t>sendo essencial que a área demandante</w:t>
      </w:r>
      <w:r w:rsidR="005F4F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DC3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dite</w:t>
      </w:r>
      <w:r w:rsidR="005F4F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claramente quais são as</w:t>
      </w:r>
      <w:r w:rsid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9E70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definições </w:t>
      </w:r>
      <w:r w:rsidR="005F4F63"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adequadas </w:t>
      </w:r>
      <w:r w:rsidR="0051784E" w:rsidRPr="00007D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para a completa aderência do objeto</w:t>
      </w:r>
      <w:r w:rsidR="005178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às necessidades </w:t>
      </w:r>
      <w:r w:rsidR="00F145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da contratante.</w:t>
      </w:r>
    </w:p>
    <w:p w14:paraId="4F14567A" w14:textId="73D8B8EC" w:rsidR="00A1174F" w:rsidRPr="00A1174F" w:rsidRDefault="00A1174F" w:rsidP="00AC47C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Quando da análise de caso semelhante, o Tribunal de Contas da União – TCU, enunciou, no Acórdão nº 2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.</w:t>
      </w:r>
      <w:r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129/2021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– </w:t>
      </w:r>
      <w:r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Plenário que “é irregular a exigência de atendimento a normas técnicas da ABNT, declarações de qualidade, certificações, laudos técnicos e certificados de conformidade sem a demonstração da essencialidade dessas exigências para se garantir a qualidade e o desempenho suficientes </w:t>
      </w:r>
      <w:r w:rsidRPr="00AE7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do objeto</w:t>
      </w:r>
      <w:r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a ser contratado.”</w:t>
      </w:r>
    </w:p>
    <w:p w14:paraId="5A11A8FC" w14:textId="348FCAC1" w:rsidR="00A1174F" w:rsidRPr="00A1174F" w:rsidRDefault="00A1174F" w:rsidP="00AC47C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No bojo do voto, sabiamente o TCU 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</w:t>
      </w:r>
      <w:r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pontou que as leis e demais normas existentes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</w:t>
      </w:r>
      <w:r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que versem sobre o objeto a ser contratado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</w:t>
      </w:r>
      <w:r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“devem ser interpretadas e relativizadas, principalmente tendo em vista a imensa quantidade de normas técnicas hoje existentes. As leis devem ser interpretadas não só de forma literal, mas também a partir de uma visão sistêmica e teleológica que decorra também da evolução do quadro da realidade”, isso porque “uma postura exacerbada na aplicação desses diplomas legais levaria a situações de inconstitucionalidade, uma vez que teríamos restrições de competitividade vedadas pelo art. 37, inciso XXI, da Constituição Federal.”</w:t>
      </w:r>
    </w:p>
    <w:p w14:paraId="1CC509B2" w14:textId="77777777" w:rsidR="00A1174F" w:rsidRPr="00A1174F" w:rsidRDefault="00A1174F" w:rsidP="00AC47C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Na mesma toada, declarou que:</w:t>
      </w:r>
    </w:p>
    <w:p w14:paraId="243606D0" w14:textId="6C9B29FA" w:rsidR="00801086" w:rsidRDefault="00801086" w:rsidP="005C655D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8010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 escolha feita pela Administração Pública não pode ser arbitrária, ao contrário, deve ser motivada. Em suma, a licitação exige, necessariamente, algum tipo de restrição, pois, no momento em que se definem as características do produto desejado, afasta-se a possibilidade de participação das empresas que não detêm os bens com as características estipuladas. O que não se admite, e assim prevê tanto o art. 37, inciso XXI, da Constituição Federal como o art. 3º, §1º, inciso I, da Lei 8.666/1993, é o estabelecimento de condições que restrinjam o caráter competitivo das licitações em razão de circunstância impertinente ou irrelevante para o específico objeto do contrato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.</w:t>
      </w:r>
    </w:p>
    <w:p w14:paraId="4A440F89" w14:textId="6EA481B3" w:rsidR="00801086" w:rsidRDefault="00801086" w:rsidP="005C655D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[...]</w:t>
      </w:r>
    </w:p>
    <w:p w14:paraId="15F36803" w14:textId="47B01C8C" w:rsidR="00A1174F" w:rsidRPr="00A1174F" w:rsidRDefault="00A1174F" w:rsidP="005C655D">
      <w:pPr>
        <w:suppressAutoHyphens/>
        <w:spacing w:after="0" w:line="24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 busca pela qualidade não pode ocorrer em prejuízo da economicidade e da ampliação da competitividade das licitações, devendo ser avaliado, em cada caso, se as exigências e as condições estabelecidas são pertinentes em relação ao objeto licitado, inclusive no intuito de garantir que o produto a ser fornecido tenha a qualidade desejada. É exatamente nesse ponto que reside a importância de haver a adequada motivação de todos os requisitos a serem cumpridos pelos produtos a serem fornecidos, o que não ocorreu no âmbito da licitação em tela.</w:t>
      </w:r>
    </w:p>
    <w:p w14:paraId="00EFD200" w14:textId="77777777" w:rsidR="001D0A88" w:rsidRDefault="001D0A88" w:rsidP="00AC47C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6B9CF4E5" w14:textId="35417ED1" w:rsidR="00A1174F" w:rsidRPr="00A1174F" w:rsidRDefault="00A1174F" w:rsidP="00AC47C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A1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Sendo assim, entende-se que não é </w:t>
      </w:r>
      <w:r w:rsidR="003D106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obrigatório</w:t>
      </w:r>
      <w:r w:rsidRPr="00A1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manter exigência</w:t>
      </w:r>
      <w:r w:rsidR="006F3B6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s</w:t>
      </w:r>
      <w:r w:rsidRPr="00A1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apenas para cumprir </w:t>
      </w:r>
      <w:r w:rsidR="00F145C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algum</w:t>
      </w:r>
      <w:r w:rsidRPr="00A1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preceito </w:t>
      </w:r>
      <w:r w:rsidR="0027566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disposto nas normas infralegais </w:t>
      </w:r>
      <w:r w:rsidR="006F3B6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vigentes, </w:t>
      </w:r>
      <w:r w:rsidRPr="00A1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porque </w:t>
      </w:r>
      <w:r w:rsidR="00DD06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a Administração</w:t>
      </w:r>
      <w:r w:rsidR="006F3B6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Pública</w:t>
      </w:r>
      <w:r w:rsidR="00DD06A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pode </w:t>
      </w:r>
      <w:r w:rsidR="006F3B6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entender que </w:t>
      </w:r>
      <w:r w:rsidR="009E701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descrição </w:t>
      </w:r>
      <w:r w:rsidR="00726C3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di</w:t>
      </w:r>
      <w:r w:rsidRPr="00A1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versa</w:t>
      </w:r>
      <w:r w:rsidR="00726C3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A1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atenderia a </w:t>
      </w:r>
      <w:r w:rsidR="00726C3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sua </w:t>
      </w:r>
      <w:r w:rsidRPr="00A1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demanda</w:t>
      </w:r>
      <w:r w:rsidR="00726C3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e</w:t>
      </w:r>
      <w:r w:rsidR="0083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,</w:t>
      </w:r>
      <w:r w:rsidR="00726C3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por isso</w:t>
      </w:r>
      <w:r w:rsidR="0083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,</w:t>
      </w:r>
      <w:r w:rsidR="00726C3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A1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a manutenção do texto </w:t>
      </w:r>
      <w:r w:rsidR="00726C3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com </w:t>
      </w:r>
      <w:r w:rsidR="009E701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exigências </w:t>
      </w:r>
      <w:r w:rsidR="004620A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excessivas </w:t>
      </w:r>
      <w:r w:rsidRPr="00A117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pode implicar em restrição da competitividade.</w:t>
      </w:r>
    </w:p>
    <w:p w14:paraId="50DC9AAC" w14:textId="46995264" w:rsidR="00892137" w:rsidRPr="000E2379" w:rsidRDefault="00955178" w:rsidP="00AC47C6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0E23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Não é demais ressaltar que</w:t>
      </w:r>
      <w:r w:rsidR="004C4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</w:t>
      </w:r>
      <w:r w:rsidRPr="000E23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todas as justificativas pertinentes </w:t>
      </w:r>
      <w:r w:rsidR="00754CD0" w:rsidRPr="000E23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devem ser formalizadas nos autos do respectivo processo administrativo e</w:t>
      </w:r>
      <w:r w:rsidR="00A1174F"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</w:t>
      </w:r>
      <w:r w:rsidR="00754CD0" w:rsidRPr="000E23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em caso de </w:t>
      </w:r>
      <w:r w:rsidR="00A1174F"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substancial modificação nas condições de contratação,</w:t>
      </w:r>
      <w:r w:rsidR="00754CD0" w:rsidRPr="000E23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em momento </w:t>
      </w:r>
      <w:r w:rsidR="00892137" w:rsidRPr="000E23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posterior, implica na </w:t>
      </w:r>
      <w:r w:rsidR="00A1174F"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revisitação dos autos para verificação do impacto da alteração nas diligências consumadas a fim de que sejam revalidadas ou atualizadas</w:t>
      </w:r>
      <w:r w:rsidR="00892137" w:rsidRPr="000E23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a exemplo da </w:t>
      </w:r>
      <w:r w:rsidR="004C483D" w:rsidRPr="000E23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pesquisa de mercado. </w:t>
      </w:r>
    </w:p>
    <w:p w14:paraId="6182C546" w14:textId="3C7924E1" w:rsidR="00A1174F" w:rsidRDefault="00892137" w:rsidP="00B44A90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AC47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Por fim, </w:t>
      </w:r>
      <w:r w:rsidR="00AC47C6" w:rsidRPr="00AC47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sabe-se também que</w:t>
      </w:r>
      <w:r w:rsidR="007479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</w:t>
      </w:r>
      <w:r w:rsidR="00AC47C6" w:rsidRPr="00AC47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deve ser </w:t>
      </w:r>
      <w:r w:rsidR="00A1174F" w:rsidRPr="00A117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garantida a publicidade dos atos, ampla concorrência e escolha da melhor proposta.</w:t>
      </w:r>
    </w:p>
    <w:p w14:paraId="1087D0FC" w14:textId="0E889253" w:rsidR="00FB3E8C" w:rsidRDefault="00FB3E8C" w:rsidP="0074790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14:paraId="41A88FBF" w14:textId="77777777" w:rsidR="00F71D9D" w:rsidRDefault="00F71D9D" w:rsidP="0074790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F71D9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Como citar este texto:</w:t>
      </w:r>
    </w:p>
    <w:p w14:paraId="286231AD" w14:textId="66C8B697" w:rsidR="00747907" w:rsidRDefault="00F71D9D" w:rsidP="0074790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SILVA, </w:t>
      </w:r>
      <w:r w:rsidRPr="00F71D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Ladny Soares Rodrigues. Limites dos critérios de definição do objeto da licitação. Zênite Fácil, categoria Doutrina, </w:t>
      </w:r>
      <w:r w:rsidRPr="00F71D9D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zh-CN"/>
        </w:rPr>
        <w:t>XX</w:t>
      </w:r>
      <w:r w:rsidRPr="00F71D9D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zh-CN"/>
        </w:rPr>
        <w:t xml:space="preserve"> </w:t>
      </w:r>
      <w:r w:rsidRPr="00F71D9D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zh-CN"/>
        </w:rPr>
        <w:t>jan</w:t>
      </w:r>
      <w:r w:rsidRPr="00F71D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. 2023. Disponível em: http://www.zenitefacil.com.br. Acesso em: </w:t>
      </w:r>
      <w:proofErr w:type="spellStart"/>
      <w:r w:rsidRPr="00F71D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dd</w:t>
      </w:r>
      <w:proofErr w:type="spellEnd"/>
      <w:r w:rsidRPr="00F71D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F71D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mmm</w:t>
      </w:r>
      <w:proofErr w:type="spellEnd"/>
      <w:r w:rsidRPr="00F71D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. </w:t>
      </w:r>
      <w:proofErr w:type="spellStart"/>
      <w:r w:rsidRPr="00F71D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aaaa</w:t>
      </w:r>
      <w:proofErr w:type="spellEnd"/>
      <w:r w:rsidRPr="00F71D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.</w:t>
      </w:r>
    </w:p>
    <w:sectPr w:rsidR="00747907" w:rsidSect="00844AA6">
      <w:footerReference w:type="default" r:id="rId6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CAC1" w14:textId="77777777" w:rsidR="00A1174F" w:rsidRDefault="00A1174F" w:rsidP="00A1174F">
      <w:pPr>
        <w:spacing w:after="0" w:line="240" w:lineRule="auto"/>
      </w:pPr>
      <w:r>
        <w:separator/>
      </w:r>
    </w:p>
  </w:endnote>
  <w:endnote w:type="continuationSeparator" w:id="0">
    <w:p w14:paraId="12A955A8" w14:textId="77777777" w:rsidR="00A1174F" w:rsidRDefault="00A1174F" w:rsidP="00A1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273788"/>
      <w:docPartObj>
        <w:docPartGallery w:val="Page Numbers (Bottom of Page)"/>
        <w:docPartUnique/>
      </w:docPartObj>
    </w:sdtPr>
    <w:sdtEndPr/>
    <w:sdtContent>
      <w:p w14:paraId="083A0687" w14:textId="1F598CA3" w:rsidR="00A1174F" w:rsidRDefault="00A117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603C4D" w14:textId="77777777" w:rsidR="00A1174F" w:rsidRDefault="00A11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5EBC" w14:textId="77777777" w:rsidR="00A1174F" w:rsidRDefault="00A1174F" w:rsidP="00A1174F">
      <w:pPr>
        <w:spacing w:after="0" w:line="240" w:lineRule="auto"/>
      </w:pPr>
      <w:r>
        <w:separator/>
      </w:r>
    </w:p>
  </w:footnote>
  <w:footnote w:type="continuationSeparator" w:id="0">
    <w:p w14:paraId="0AB60013" w14:textId="77777777" w:rsidR="00A1174F" w:rsidRDefault="00A1174F" w:rsidP="00A11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4F"/>
    <w:rsid w:val="00007D8E"/>
    <w:rsid w:val="00012110"/>
    <w:rsid w:val="000B2678"/>
    <w:rsid w:val="000B32F8"/>
    <w:rsid w:val="000E2379"/>
    <w:rsid w:val="000E33B9"/>
    <w:rsid w:val="00181E32"/>
    <w:rsid w:val="001D0A88"/>
    <w:rsid w:val="00256D9E"/>
    <w:rsid w:val="00271BF9"/>
    <w:rsid w:val="0027566F"/>
    <w:rsid w:val="00284C6B"/>
    <w:rsid w:val="003733F2"/>
    <w:rsid w:val="003D106F"/>
    <w:rsid w:val="003D484A"/>
    <w:rsid w:val="004620AF"/>
    <w:rsid w:val="004A072E"/>
    <w:rsid w:val="004A2585"/>
    <w:rsid w:val="004A6A9D"/>
    <w:rsid w:val="004C483D"/>
    <w:rsid w:val="004D206D"/>
    <w:rsid w:val="0051784E"/>
    <w:rsid w:val="00551413"/>
    <w:rsid w:val="00583913"/>
    <w:rsid w:val="005C655D"/>
    <w:rsid w:val="005E68D9"/>
    <w:rsid w:val="005F4F63"/>
    <w:rsid w:val="006127BB"/>
    <w:rsid w:val="0062707C"/>
    <w:rsid w:val="006E1685"/>
    <w:rsid w:val="006F3B68"/>
    <w:rsid w:val="00724A98"/>
    <w:rsid w:val="00726C30"/>
    <w:rsid w:val="00747907"/>
    <w:rsid w:val="00754CD0"/>
    <w:rsid w:val="007A4B87"/>
    <w:rsid w:val="00801086"/>
    <w:rsid w:val="008144C0"/>
    <w:rsid w:val="0081450B"/>
    <w:rsid w:val="0083174F"/>
    <w:rsid w:val="0084221B"/>
    <w:rsid w:val="00844AA6"/>
    <w:rsid w:val="00892137"/>
    <w:rsid w:val="008D6712"/>
    <w:rsid w:val="008F1006"/>
    <w:rsid w:val="00923DBB"/>
    <w:rsid w:val="00951634"/>
    <w:rsid w:val="00955178"/>
    <w:rsid w:val="009A3F0C"/>
    <w:rsid w:val="009D59B9"/>
    <w:rsid w:val="009E701D"/>
    <w:rsid w:val="00A1174F"/>
    <w:rsid w:val="00A31CB6"/>
    <w:rsid w:val="00A91C82"/>
    <w:rsid w:val="00AC47C6"/>
    <w:rsid w:val="00AE71B4"/>
    <w:rsid w:val="00B44A90"/>
    <w:rsid w:val="00B810A4"/>
    <w:rsid w:val="00B95A7A"/>
    <w:rsid w:val="00BB7BE0"/>
    <w:rsid w:val="00BF2DC6"/>
    <w:rsid w:val="00C16854"/>
    <w:rsid w:val="00C64296"/>
    <w:rsid w:val="00C9739E"/>
    <w:rsid w:val="00CA0D13"/>
    <w:rsid w:val="00CF0C50"/>
    <w:rsid w:val="00D2733C"/>
    <w:rsid w:val="00D3363A"/>
    <w:rsid w:val="00DB3CF4"/>
    <w:rsid w:val="00DC3567"/>
    <w:rsid w:val="00DD06AB"/>
    <w:rsid w:val="00DE3020"/>
    <w:rsid w:val="00E025A1"/>
    <w:rsid w:val="00E35A19"/>
    <w:rsid w:val="00E530E5"/>
    <w:rsid w:val="00E659A4"/>
    <w:rsid w:val="00E71C41"/>
    <w:rsid w:val="00E961D5"/>
    <w:rsid w:val="00EB3DC3"/>
    <w:rsid w:val="00F145CD"/>
    <w:rsid w:val="00F71D9D"/>
    <w:rsid w:val="00F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AAAE"/>
  <w15:chartTrackingRefBased/>
  <w15:docId w15:val="{2ABEEC19-775D-41F4-86A6-29C262A9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74F"/>
  </w:style>
  <w:style w:type="paragraph" w:styleId="Rodap">
    <w:name w:val="footer"/>
    <w:basedOn w:val="Normal"/>
    <w:link w:val="RodapChar"/>
    <w:uiPriority w:val="99"/>
    <w:unhideWhenUsed/>
    <w:rsid w:val="00A1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74F"/>
  </w:style>
  <w:style w:type="paragraph" w:customStyle="1" w:styleId="artigo">
    <w:name w:val="artigo"/>
    <w:basedOn w:val="Normal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47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Ladny Soares</dc:creator>
  <cp:keywords/>
  <dc:description/>
  <cp:lastModifiedBy>Alessandra Corrêa Santos</cp:lastModifiedBy>
  <cp:revision>7</cp:revision>
  <dcterms:created xsi:type="dcterms:W3CDTF">2023-01-16T14:24:00Z</dcterms:created>
  <dcterms:modified xsi:type="dcterms:W3CDTF">2023-01-16T14:42:00Z</dcterms:modified>
</cp:coreProperties>
</file>